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E1" w:rsidRPr="00F67D3F" w:rsidRDefault="005B6AE1" w:rsidP="00B659E9">
      <w:pPr>
        <w:pStyle w:val="a6"/>
        <w:ind w:left="4248" w:firstLine="708"/>
        <w:rPr>
          <w:sz w:val="32"/>
          <w:szCs w:val="32"/>
          <w:lang w:eastAsia="ru-RU"/>
        </w:rPr>
      </w:pPr>
      <w:bookmarkStart w:id="0" w:name="_GoBack"/>
      <w:bookmarkEnd w:id="0"/>
      <w:r w:rsidRPr="00F67D3F">
        <w:rPr>
          <w:sz w:val="32"/>
          <w:szCs w:val="32"/>
          <w:lang w:eastAsia="ru-RU"/>
        </w:rPr>
        <w:t xml:space="preserve"> Акт</w:t>
      </w:r>
    </w:p>
    <w:p w:rsidR="005B6AE1" w:rsidRPr="003671BF" w:rsidRDefault="005B6AE1" w:rsidP="00601451">
      <w:pPr>
        <w:ind w:left="70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C5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по исполнению бюджета Степношенталинского сельского поселения</w:t>
      </w:r>
      <w:r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</w:t>
      </w:r>
      <w:r w:rsidR="00CD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сентября 2016 года по 1 марта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B6AE1" w:rsidRPr="00026E25" w:rsidRDefault="005B6AE1" w:rsidP="00367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1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начата       26.02.2018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B6AE1" w:rsidRPr="00026E25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Проверка </w:t>
      </w:r>
      <w:r w:rsidR="00CD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   23.03.2018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B6AE1" w:rsidRPr="00026E25" w:rsidRDefault="005B6AE1" w:rsidP="008C56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Алексеевского муниципального района Сергеев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совместно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ециалистом контрольно-счетной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Алексеевского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Шайхутдиновым И.Б.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помощником главы по вопросам</w:t>
      </w:r>
      <w:r w:rsidR="00CD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Демидовой А.Д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провели проверку исполнения бюджета Степношенталинского СП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муниципального района Республики Татарст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за</w:t>
      </w:r>
      <w:r w:rsidR="00CD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1.09.2016 года по 1.03.2018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ипальное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азование Степношенталинское СП Алексеевского муниципального района РТ наделено статусом сельского поселения, 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деятельность на основании Устава, принятого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местного самоуправления Решением № 6 от 30 июня 2005 года.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AE1" w:rsidRDefault="00601451" w:rsidP="00601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Степношенталинское СП вх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 в состав </w:t>
      </w:r>
      <w:r w:rsid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района РТ.</w:t>
      </w:r>
    </w:p>
    <w:p w:rsidR="005B6AE1" w:rsidRPr="00726C63" w:rsidRDefault="005B6AE1" w:rsidP="005B6AE1">
      <w:pPr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лицами за проверяемый период являлись:</w:t>
      </w:r>
    </w:p>
    <w:p w:rsidR="005B6AE1" w:rsidRPr="00726C63" w:rsidRDefault="005B6AE1" w:rsidP="005B6AE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Степношенталинского СП Хамадеев Ф.Я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весь период.</w:t>
      </w:r>
    </w:p>
    <w:p w:rsidR="005B6AE1" w:rsidRPr="00726C63" w:rsidRDefault="005B6AE1" w:rsidP="005B6AE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ЦБ Степношенталинского СП. Хаматвалеева Г.А. – весь период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Алексеевский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район, село Степная Шентала, улица Вахитова, дом 36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Банки обслуживания: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ГРКЦ НБ РТ Банка России г. Казань.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счета по перечислениям: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Отделение в Алексеевском муниципальном районе, УФК по РТ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Счет- 40204810900000250019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ИНН- 1605004891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КПП- 160501001     </w:t>
      </w:r>
    </w:p>
    <w:p w:rsidR="00CD13C0" w:rsidRDefault="005B6AE1" w:rsidP="00CD1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трализованная бухгалтерия Степношентали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 обслуживала 5 учреждений, в том числе: Глава -1,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 -1, ЦБ -1, СДК-1, СК-1.</w:t>
      </w:r>
      <w:r w:rsidRPr="007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3C0" w:rsidRDefault="00CD13C0" w:rsidP="00CD1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в 2016 году составили 3585,5 тыс. руб., расходы 3568,1 тыс. руб., бюджет профицитный, профицит 17,4 тыс. руб.. Расходы с 1.09.2016 года по 1.01.2017 года составили 2204,1 тыс. руб..</w:t>
      </w:r>
    </w:p>
    <w:p w:rsidR="005B6AE1" w:rsidRDefault="00CD13C0" w:rsidP="00CD1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в 2017</w:t>
      </w:r>
      <w:r w:rsidR="0021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3104,5 тыс. руб., расходы 3005,6</w:t>
      </w:r>
      <w:r w:rsid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профицитный, про</w:t>
      </w:r>
      <w:r w:rsidR="00D2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98,9</w:t>
      </w:r>
      <w:r w:rsid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руб..</w:t>
      </w:r>
    </w:p>
    <w:p w:rsidR="005B6AE1" w:rsidRPr="00726C63" w:rsidRDefault="001C44DD" w:rsidP="005B6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на 1.03</w:t>
      </w:r>
      <w:r w:rsidR="00CD13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D2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27D90" w:rsidRPr="001C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составили  </w:t>
      </w:r>
      <w:r w:rsidRPr="001C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421,9</w:t>
      </w:r>
      <w:r w:rsidR="008C568A" w:rsidRPr="001C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7D90" w:rsidRPr="001C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руб., расходы </w:t>
      </w:r>
      <w:r w:rsidRPr="001C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384,1</w:t>
      </w:r>
      <w:r w:rsidR="005B6AE1" w:rsidRPr="001C44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руб..</w:t>
      </w:r>
    </w:p>
    <w:p w:rsidR="00192A10" w:rsidRDefault="005B6AE1" w:rsidP="00885E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Кассовые и банковские документы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верены сплошным</w:t>
      </w:r>
      <w:r w:rsidR="0059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за весь проверяемый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A10" w:rsidRPr="00192A10" w:rsidRDefault="00192A10" w:rsidP="00192A1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доходам </w:t>
      </w:r>
      <w:r w:rsidR="00825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 w:rsidR="0034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A4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343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тыс. </w:t>
      </w:r>
      <w:r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34"/>
        <w:gridCol w:w="1276"/>
        <w:gridCol w:w="1134"/>
        <w:gridCol w:w="1134"/>
        <w:gridCol w:w="1134"/>
      </w:tblGrid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 Решению Совета</w:t>
            </w:r>
          </w:p>
        </w:tc>
        <w:tc>
          <w:tcPr>
            <w:tcW w:w="1276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Уточнено по Решению Совета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2017</w:t>
            </w:r>
            <w:r w:rsidR="00192A10"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 первоначально утвержд. Плану %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к уточнен. плану %</w:t>
            </w:r>
          </w:p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740,3</w:t>
            </w:r>
          </w:p>
        </w:tc>
        <w:tc>
          <w:tcPr>
            <w:tcW w:w="1276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953,2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1086,5</w:t>
            </w:r>
          </w:p>
        </w:tc>
        <w:tc>
          <w:tcPr>
            <w:tcW w:w="1134" w:type="dxa"/>
          </w:tcPr>
          <w:p w:rsidR="00192A10" w:rsidRPr="00192A10" w:rsidRDefault="00825EB4" w:rsidP="0082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физ.лиц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276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 налог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192A10"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134" w:type="dxa"/>
          </w:tcPr>
          <w:p w:rsidR="00192A10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1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B2CCD" w:rsidRPr="00192A10" w:rsidTr="00F474E9">
        <w:tc>
          <w:tcPr>
            <w:tcW w:w="4679" w:type="dxa"/>
          </w:tcPr>
          <w:p w:rsidR="002B2CCD" w:rsidRPr="00192A10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134" w:type="dxa"/>
          </w:tcPr>
          <w:p w:rsidR="002B2CCD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2B2CCD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</w:tcPr>
          <w:p w:rsidR="002B2CCD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</w:tcPr>
          <w:p w:rsidR="002B2CCD" w:rsidRPr="00192A10" w:rsidRDefault="00825EB4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6C403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главе</w:t>
            </w:r>
          </w:p>
        </w:tc>
        <w:tc>
          <w:tcPr>
            <w:tcW w:w="1134" w:type="dxa"/>
          </w:tcPr>
          <w:p w:rsidR="00192A10" w:rsidRPr="00192A10" w:rsidRDefault="002B2CCD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92A10" w:rsidRPr="00192A10" w:rsidRDefault="006C403B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92A10" w:rsidRPr="00192A10" w:rsidRDefault="006C403B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:rsidR="00192A10" w:rsidRPr="00192A10" w:rsidRDefault="0021702A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92A10" w:rsidRPr="00192A10" w:rsidRDefault="006C403B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2A10" w:rsidRPr="00192A10" w:rsidTr="00DD119C">
        <w:trPr>
          <w:trHeight w:val="270"/>
        </w:trPr>
        <w:tc>
          <w:tcPr>
            <w:tcW w:w="4679" w:type="dxa"/>
          </w:tcPr>
          <w:p w:rsidR="00192A10" w:rsidRPr="00192A10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доходы</w:t>
            </w:r>
          </w:p>
        </w:tc>
        <w:tc>
          <w:tcPr>
            <w:tcW w:w="1134" w:type="dxa"/>
          </w:tcPr>
          <w:p w:rsidR="00192A10" w:rsidRPr="00192A10" w:rsidRDefault="00192A10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92A10" w:rsidRPr="00192A10" w:rsidRDefault="00825EB4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134" w:type="dxa"/>
          </w:tcPr>
          <w:p w:rsidR="00192A10" w:rsidRPr="00192A10" w:rsidRDefault="00825EB4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34" w:type="dxa"/>
          </w:tcPr>
          <w:p w:rsidR="00192A10" w:rsidRPr="00192A10" w:rsidRDefault="00192A10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92A10" w:rsidRPr="00192A10" w:rsidRDefault="00A11613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92A10" w:rsidRPr="00192A10" w:rsidRDefault="006C403B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1210,3</w:t>
            </w:r>
          </w:p>
        </w:tc>
        <w:tc>
          <w:tcPr>
            <w:tcW w:w="1276" w:type="dxa"/>
          </w:tcPr>
          <w:p w:rsidR="00192A10" w:rsidRPr="00192A10" w:rsidRDefault="006C403B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2018,0</w:t>
            </w:r>
          </w:p>
        </w:tc>
        <w:tc>
          <w:tcPr>
            <w:tcW w:w="1134" w:type="dxa"/>
          </w:tcPr>
          <w:p w:rsidR="00192A10" w:rsidRPr="00192A10" w:rsidRDefault="006C403B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2018,0</w:t>
            </w:r>
          </w:p>
        </w:tc>
        <w:tc>
          <w:tcPr>
            <w:tcW w:w="1134" w:type="dxa"/>
          </w:tcPr>
          <w:p w:rsidR="00192A10" w:rsidRPr="00192A10" w:rsidRDefault="006C403B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134" w:type="dxa"/>
          </w:tcPr>
          <w:p w:rsidR="00192A10" w:rsidRPr="00192A10" w:rsidRDefault="0021702A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2CCD" w:rsidRPr="00192A10" w:rsidTr="00F474E9">
        <w:tc>
          <w:tcPr>
            <w:tcW w:w="4679" w:type="dxa"/>
          </w:tcPr>
          <w:p w:rsidR="002B2CCD" w:rsidRPr="00192A10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</w:t>
            </w:r>
            <w:r w:rsidR="00DD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айонного фонда фин. поддержки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бюджетной обеспеченности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19C" w:rsidRDefault="00DD119C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6C403B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1133,0</w:t>
            </w:r>
          </w:p>
        </w:tc>
        <w:tc>
          <w:tcPr>
            <w:tcW w:w="1276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6C403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1133,0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6C403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1133,0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6C403B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1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2CCD" w:rsidRPr="00192A10" w:rsidTr="00F474E9">
        <w:tc>
          <w:tcPr>
            <w:tcW w:w="4679" w:type="dxa"/>
          </w:tcPr>
          <w:p w:rsidR="002B2CCD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районного фонда сбалансированности бюджетов поселений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Default="006C403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6C403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6C403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6C403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F6FBB" w:rsidRPr="00192A10" w:rsidTr="00F474E9">
        <w:tc>
          <w:tcPr>
            <w:tcW w:w="4679" w:type="dxa"/>
          </w:tcPr>
          <w:p w:rsidR="005F6FBB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СП</w:t>
            </w:r>
          </w:p>
        </w:tc>
        <w:tc>
          <w:tcPr>
            <w:tcW w:w="1134" w:type="dxa"/>
          </w:tcPr>
          <w:p w:rsidR="005F6FBB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6FBB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134" w:type="dxa"/>
          </w:tcPr>
          <w:p w:rsidR="005F6FBB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134" w:type="dxa"/>
          </w:tcPr>
          <w:p w:rsidR="005F6FBB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FBB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2CCD" w:rsidRPr="00192A10" w:rsidTr="00F474E9">
        <w:tc>
          <w:tcPr>
            <w:tcW w:w="4679" w:type="dxa"/>
          </w:tcPr>
          <w:p w:rsidR="002B2CCD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</w:tcPr>
          <w:p w:rsidR="002B2CCD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</w:tcPr>
          <w:p w:rsidR="002B2CCD" w:rsidRPr="00192A10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34" w:type="dxa"/>
          </w:tcPr>
          <w:p w:rsidR="002B2CCD" w:rsidRPr="00192A10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34" w:type="dxa"/>
          </w:tcPr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2CCD" w:rsidRPr="00192A10" w:rsidTr="00F474E9">
        <w:tc>
          <w:tcPr>
            <w:tcW w:w="4679" w:type="dxa"/>
          </w:tcPr>
          <w:p w:rsidR="002B2CCD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Дотация из других бюджетов</w:t>
            </w:r>
          </w:p>
        </w:tc>
        <w:tc>
          <w:tcPr>
            <w:tcW w:w="1134" w:type="dxa"/>
          </w:tcPr>
          <w:p w:rsidR="002B2CCD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B2CCD" w:rsidRPr="00192A10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1134" w:type="dxa"/>
          </w:tcPr>
          <w:p w:rsidR="002B2CCD" w:rsidRPr="00192A10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1134" w:type="dxa"/>
          </w:tcPr>
          <w:p w:rsidR="002B2CCD" w:rsidRPr="00192A10" w:rsidRDefault="00E77BDE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B2CCD" w:rsidRPr="00192A10" w:rsidRDefault="00E77BDE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92A10" w:rsidRPr="00192A10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1950,3</w:t>
            </w:r>
          </w:p>
        </w:tc>
        <w:tc>
          <w:tcPr>
            <w:tcW w:w="1276" w:type="dxa"/>
          </w:tcPr>
          <w:p w:rsidR="00192A10" w:rsidRPr="00192A10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2971,2</w:t>
            </w:r>
          </w:p>
        </w:tc>
        <w:tc>
          <w:tcPr>
            <w:tcW w:w="1134" w:type="dxa"/>
          </w:tcPr>
          <w:p w:rsidR="00192A10" w:rsidRPr="00192A10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3104,5</w:t>
            </w:r>
          </w:p>
        </w:tc>
        <w:tc>
          <w:tcPr>
            <w:tcW w:w="1134" w:type="dxa"/>
          </w:tcPr>
          <w:p w:rsidR="00192A10" w:rsidRPr="00192A10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</w:tcPr>
          <w:p w:rsidR="00192A10" w:rsidRPr="00192A10" w:rsidRDefault="005F6FBB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</w:tbl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4F" w:rsidRDefault="0079404F" w:rsidP="007940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первоначально утвержденному бюджету, собственные доходы должны были составить 740,3 тыс. рублей, или же 37,9 % от общего объема доходов, удельный вес безвозмездных поступлений должен был составить 62,1 %. </w:t>
      </w:r>
      <w:r>
        <w:rPr>
          <w:sz w:val="28"/>
          <w:szCs w:val="28"/>
        </w:rPr>
        <w:tab/>
        <w:t>В ходе исполнения и уточнения бюджета, доля собственных доходов составила 34,9 %. В общей сложности план поступления собственных доходов не выполнен на 3%  .</w:t>
      </w:r>
    </w:p>
    <w:p w:rsidR="00E77BDE" w:rsidRPr="0079404F" w:rsidRDefault="0079404F" w:rsidP="007940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выполнен утвержденный план поступлений налога на имущество физических лиц,  в связи с этим не дополучен 1,9 тыс. руб. доходов. </w:t>
      </w:r>
    </w:p>
    <w:p w:rsidR="005B6AE1" w:rsidRPr="000227DA" w:rsidRDefault="005B6AE1" w:rsidP="005B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E1" w:rsidRPr="000227DA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7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                 Таблица № 2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414"/>
        <w:gridCol w:w="1171"/>
        <w:gridCol w:w="1220"/>
        <w:gridCol w:w="1129"/>
        <w:gridCol w:w="1155"/>
      </w:tblGrid>
      <w:tr w:rsidR="005B6AE1" w:rsidRPr="000227DA" w:rsidTr="003433A4">
        <w:tc>
          <w:tcPr>
            <w:tcW w:w="4099" w:type="dxa"/>
            <w:vMerge w:val="restart"/>
          </w:tcPr>
          <w:p w:rsidR="005B6AE1" w:rsidRPr="000227DA" w:rsidRDefault="005B6AE1" w:rsidP="003433A4">
            <w:pPr>
              <w:spacing w:after="0" w:line="240" w:lineRule="auto"/>
              <w:ind w:left="-120" w:right="-5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показателей</w:t>
            </w:r>
          </w:p>
          <w:p w:rsidR="005B6AE1" w:rsidRPr="000227DA" w:rsidRDefault="005B6AE1" w:rsidP="003433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Утвержден.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171" w:type="dxa"/>
            <w:vMerge w:val="restart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Уточнен.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220" w:type="dxa"/>
            <w:vMerge w:val="restart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5B6AE1" w:rsidRPr="000227DA" w:rsidRDefault="00691753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</w:t>
            </w:r>
            <w:r w:rsidR="005B6AE1"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84" w:type="dxa"/>
            <w:gridSpan w:val="2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%</w:t>
            </w:r>
          </w:p>
        </w:tc>
      </w:tr>
      <w:tr w:rsidR="005B6AE1" w:rsidRPr="000227DA" w:rsidTr="003433A4">
        <w:tc>
          <w:tcPr>
            <w:tcW w:w="4099" w:type="dxa"/>
            <w:vMerge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утвержд.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уточнен.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414" w:type="dxa"/>
          </w:tcPr>
          <w:p w:rsidR="005B6AE1" w:rsidRPr="000227DA" w:rsidRDefault="0079404F" w:rsidP="003433A4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171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1232,2</w:t>
            </w:r>
          </w:p>
        </w:tc>
        <w:tc>
          <w:tcPr>
            <w:tcW w:w="1220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1232,2</w:t>
            </w:r>
          </w:p>
        </w:tc>
        <w:tc>
          <w:tcPr>
            <w:tcW w:w="1129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2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414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1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 w:rsidR="005B6AE1"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220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29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414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171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1220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1129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9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4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</w:tcPr>
          <w:p w:rsidR="005B6AE1" w:rsidRPr="000227DA" w:rsidRDefault="0079404F" w:rsidP="0034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18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0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B6AE1"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9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4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171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531,7</w:t>
            </w:r>
          </w:p>
        </w:tc>
        <w:tc>
          <w:tcPr>
            <w:tcW w:w="1220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531,7</w:t>
            </w:r>
          </w:p>
        </w:tc>
        <w:tc>
          <w:tcPr>
            <w:tcW w:w="1129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155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D27D90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</w:t>
            </w:r>
          </w:p>
        </w:tc>
        <w:tc>
          <w:tcPr>
            <w:tcW w:w="1414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0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9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2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414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220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129" w:type="dxa"/>
          </w:tcPr>
          <w:p w:rsidR="005B6AE1" w:rsidRPr="000227DA" w:rsidRDefault="0079404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414" w:type="dxa"/>
          </w:tcPr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71" w:type="dxa"/>
          </w:tcPr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220" w:type="dxa"/>
          </w:tcPr>
          <w:p w:rsidR="005B6AE1" w:rsidRPr="000227DA" w:rsidRDefault="003671BF" w:rsidP="00746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129" w:type="dxa"/>
          </w:tcPr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854,2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4" w:type="dxa"/>
          </w:tcPr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171" w:type="dxa"/>
          </w:tcPr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220" w:type="dxa"/>
          </w:tcPr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129" w:type="dxa"/>
          </w:tcPr>
          <w:p w:rsidR="005B6AE1" w:rsidRPr="000227DA" w:rsidRDefault="003671BF" w:rsidP="003433A4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113,9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27D90" w:rsidRPr="000227DA" w:rsidTr="003433A4">
        <w:tc>
          <w:tcPr>
            <w:tcW w:w="4099" w:type="dxa"/>
          </w:tcPr>
          <w:p w:rsidR="00D27D90" w:rsidRPr="000227DA" w:rsidRDefault="00D27D90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</w:tcPr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</w:tcPr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D90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20" w:type="dxa"/>
          </w:tcPr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D90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29" w:type="dxa"/>
          </w:tcPr>
          <w:p w:rsidR="00D27D90" w:rsidRDefault="00D27D90" w:rsidP="003433A4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D90" w:rsidRDefault="00D27D90" w:rsidP="003433A4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4" w:type="dxa"/>
          </w:tcPr>
          <w:p w:rsidR="005B6AE1" w:rsidRDefault="005B6AE1" w:rsidP="0034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71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106,4</w:t>
            </w:r>
          </w:p>
        </w:tc>
        <w:tc>
          <w:tcPr>
            <w:tcW w:w="1220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29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257</w:t>
            </w:r>
            <w:r w:rsidR="00D7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7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4" w:type="dxa"/>
          </w:tcPr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1950,6</w:t>
            </w:r>
          </w:p>
        </w:tc>
        <w:tc>
          <w:tcPr>
            <w:tcW w:w="1171" w:type="dxa"/>
          </w:tcPr>
          <w:p w:rsidR="005B6AE1" w:rsidRPr="000227DA" w:rsidRDefault="003671BF" w:rsidP="003433A4">
            <w:pPr>
              <w:tabs>
                <w:tab w:val="right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3005,6</w:t>
            </w:r>
          </w:p>
        </w:tc>
        <w:tc>
          <w:tcPr>
            <w:tcW w:w="1220" w:type="dxa"/>
          </w:tcPr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3005,6</w:t>
            </w:r>
          </w:p>
        </w:tc>
        <w:tc>
          <w:tcPr>
            <w:tcW w:w="1129" w:type="dxa"/>
          </w:tcPr>
          <w:p w:rsidR="005B6AE1" w:rsidRPr="000227DA" w:rsidRDefault="003671BF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7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3671BF" w:rsidRDefault="003671BF" w:rsidP="003671BF">
      <w:pPr>
        <w:spacing w:line="360" w:lineRule="auto"/>
        <w:ind w:firstLine="708"/>
        <w:jc w:val="both"/>
        <w:rPr>
          <w:sz w:val="28"/>
          <w:szCs w:val="28"/>
        </w:rPr>
      </w:pPr>
    </w:p>
    <w:p w:rsidR="00BB6A8B" w:rsidRDefault="003671BF" w:rsidP="00BB6A8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Наибольшие изменения в структуре расходной части произошли в большую сторону: услуги по содержанию </w:t>
      </w:r>
      <w:r w:rsidR="00BB6A8B">
        <w:rPr>
          <w:sz w:val="28"/>
          <w:szCs w:val="28"/>
        </w:rPr>
        <w:t xml:space="preserve">имущества, </w:t>
      </w:r>
      <w:r w:rsidR="007C65FE">
        <w:rPr>
          <w:sz w:val="28"/>
          <w:szCs w:val="28"/>
        </w:rPr>
        <w:t>в прочих услугах</w:t>
      </w:r>
      <w:r>
        <w:rPr>
          <w:sz w:val="28"/>
          <w:szCs w:val="28"/>
        </w:rPr>
        <w:t>,</w:t>
      </w:r>
      <w:r w:rsidR="00BB6A8B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стоимости материальных запасов.</w:t>
      </w:r>
      <w:r w:rsidR="00BB6A8B" w:rsidRPr="00BB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451" w:rsidRDefault="00BB6A8B" w:rsidP="00601451">
      <w:pPr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BB6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ООО «Инжене</w:t>
      </w:r>
      <w:r w:rsidR="001C4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сети» перечислено 53689,12</w:t>
      </w:r>
      <w:r w:rsidRPr="00BB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о</w:t>
      </w:r>
      <w:r w:rsidR="001C44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топление за октябрь-декабрь 2016 года, за 2017 год перечислено 147406,56</w:t>
      </w:r>
      <w:r w:rsidRPr="00BB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1C4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за проверяемый период 2018</w:t>
      </w:r>
      <w:r w:rsidRPr="00BB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1C4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50462,00</w:t>
      </w:r>
      <w:r w:rsidRPr="00BB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C44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 всего на сумму 251557,68</w:t>
      </w:r>
      <w:r w:rsidRPr="00BB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отсутствуют приборы учета отопления тепла, не эффективное использование бюджетных средств. Не составлено с ООО «Инженерные сети» концессионное соглашение 115 ФЗ «Закон о концессионных соглашениях». Согласно классификатора нарушений, выделяемых в ходе внешнего государственного аудита (контроля), это является нарушением в сфере управления и распоряжения государственной (муниципальной) собственностью, пункт 3,50.</w:t>
      </w:r>
      <w:r w:rsidRPr="00BB6A8B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01451" w:rsidRPr="00601451" w:rsidRDefault="00601451" w:rsidP="0060145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51">
        <w:rPr>
          <w:rFonts w:eastAsia="Times New Roman" w:cs="Times New Roman"/>
          <w:color w:val="000000"/>
          <w:sz w:val="28"/>
          <w:szCs w:val="28"/>
        </w:rPr>
        <w:t>Вс</w:t>
      </w:r>
      <w:r w:rsidR="00B659E9">
        <w:rPr>
          <w:rFonts w:eastAsia="Times New Roman" w:cs="Times New Roman"/>
          <w:color w:val="000000"/>
          <w:sz w:val="28"/>
          <w:szCs w:val="28"/>
        </w:rPr>
        <w:t>его нарушений на сумму 503115,36</w:t>
      </w:r>
      <w:r w:rsidRPr="00601451">
        <w:rPr>
          <w:rFonts w:eastAsia="Times New Roman" w:cs="Times New Roman"/>
          <w:color w:val="000000"/>
          <w:sz w:val="28"/>
          <w:szCs w:val="28"/>
        </w:rPr>
        <w:t xml:space="preserve"> рублей. Из них:</w:t>
      </w:r>
      <w:r w:rsidRPr="00601451">
        <w:rPr>
          <w:rFonts w:eastAsia="Times New Roman" w:cs="Times New Roman"/>
          <w:sz w:val="28"/>
          <w:szCs w:val="28"/>
        </w:rPr>
        <w:t xml:space="preserve"> нарушения в сфере управления и распоряжения государственной (муниципал</w:t>
      </w:r>
      <w:r>
        <w:rPr>
          <w:rFonts w:eastAsia="Times New Roman" w:cs="Times New Roman"/>
          <w:sz w:val="28"/>
          <w:szCs w:val="28"/>
        </w:rPr>
        <w:t>ьной) собственностью – 251557,68</w:t>
      </w:r>
      <w:r w:rsidRPr="00601451">
        <w:rPr>
          <w:rFonts w:eastAsia="Times New Roman" w:cs="Times New Roman"/>
          <w:sz w:val="28"/>
          <w:szCs w:val="28"/>
        </w:rPr>
        <w:t xml:space="preserve"> рублей,</w:t>
      </w:r>
      <w:r w:rsidRPr="00601451">
        <w:rPr>
          <w:rFonts w:eastAsia="Times New Roman" w:cs="Times New Roman"/>
          <w:color w:val="000000"/>
          <w:sz w:val="28"/>
          <w:szCs w:val="28"/>
        </w:rPr>
        <w:t xml:space="preserve"> неэфф</w:t>
      </w:r>
      <w:r>
        <w:rPr>
          <w:rFonts w:eastAsia="Times New Roman" w:cs="Times New Roman"/>
          <w:color w:val="000000"/>
          <w:sz w:val="28"/>
          <w:szCs w:val="28"/>
        </w:rPr>
        <w:t>ективное использование бюджетных средств 251557,68</w:t>
      </w:r>
      <w:r w:rsidRPr="00601451">
        <w:rPr>
          <w:rFonts w:eastAsia="Times New Roman" w:cs="Times New Roman"/>
          <w:color w:val="000000"/>
          <w:sz w:val="28"/>
          <w:szCs w:val="28"/>
        </w:rPr>
        <w:t xml:space="preserve"> рублей.  </w:t>
      </w:r>
    </w:p>
    <w:p w:rsidR="005B6AE1" w:rsidRPr="00726C63" w:rsidRDefault="005B6AE1" w:rsidP="00601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бухгалтерского учета в Степношентали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нском сельском поселении. </w:t>
      </w:r>
    </w:p>
    <w:p w:rsidR="005B6AE1" w:rsidRPr="00726C63" w:rsidRDefault="005B6AE1" w:rsidP="007C6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в Степношентали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нском сельском поселении в основе своей соответствует требованиям Федерального закона «О бухгалтерском у</w:t>
      </w:r>
      <w:r w:rsidR="00B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чете» Российской Федерации № 402 ФЗ от 6.12.2011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инструкции по бюджетному учету № 148-Н от 30.12.2008 года. 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муниципального района:                                              Сергеев В.Е.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главы по вопросам противодействия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Алексеевского муниципального района: </w:t>
      </w:r>
      <w:r w:rsidR="00B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Демидова А.Д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ециалистом контрольно-счетной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района:                             Шайхутдиновым И.Б.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Степношентали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Хамадеев Ф.Я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Главный бухгалтер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Хаматвалеева Г.А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B6AE1" w:rsidRDefault="005B6AE1" w:rsidP="005B6AE1">
      <w:pPr>
        <w:spacing w:after="0" w:line="360" w:lineRule="auto"/>
        <w:ind w:left="56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E1" w:rsidRPr="00726C63" w:rsidRDefault="005B6AE1" w:rsidP="00D8125B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Степношенталин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поселения Хамадееву Ф.Я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5B6AE1" w:rsidRDefault="005B6AE1" w:rsidP="005B6A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                                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E1" w:rsidRPr="00726C63" w:rsidRDefault="005B6AE1" w:rsidP="005B6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</w:t>
      </w:r>
      <w:r w:rsidR="00427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планом ревизий на 2018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произведена плановая ревизи</w:t>
      </w:r>
      <w:r w:rsidR="0042782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26 февраля</w:t>
      </w:r>
      <w:r w:rsidR="00DD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2782B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года по 1 марта 2018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исполнению бюджета Степношентали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</w:t>
      </w:r>
      <w:r w:rsidR="004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2016 и на 1.03.2018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ревизии выявлено следующее: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Бухгалтерский учет в основе своей соответствует требованиям Федерального закона «О бухгалтерском учете» Российской Федерации № 129 ФЗ от 21.11.1996 года и инстр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укции по бюджетному учету. </w:t>
      </w:r>
    </w:p>
    <w:p w:rsidR="005B6AE1" w:rsidRPr="0042782B" w:rsidRDefault="005B6AE1" w:rsidP="0042782B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2B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</w:t>
      </w:r>
      <w:r w:rsidR="00B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на сумму 503115,36</w:t>
      </w:r>
      <w:r w:rsidR="0098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Расходование бюджетных ср</w:t>
      </w:r>
      <w:r w:rsidR="00B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по нецелевому назначению,</w:t>
      </w:r>
      <w:r w:rsidR="004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42782B" w:rsidRPr="00BB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управления и распоряжения государственной (муниципальной) собственностью</w:t>
      </w:r>
      <w:r w:rsidR="004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251557,68 рублей</w:t>
      </w:r>
      <w:r w:rsidR="0042782B" w:rsidRPr="00BB6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3,50.</w:t>
      </w:r>
      <w:r w:rsidR="0042782B" w:rsidRPr="00BB6A8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2782B">
        <w:rPr>
          <w:rFonts w:eastAsia="Times New Roman" w:cs="Times New Roman"/>
          <w:color w:val="000000"/>
          <w:sz w:val="28"/>
          <w:szCs w:val="28"/>
        </w:rPr>
        <w:t>,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е эффективного использования выявлено 251557,68 рублей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 необходимо принять следующие меры:</w:t>
      </w:r>
    </w:p>
    <w:p w:rsidR="005B6AE1" w:rsidRPr="0042782B" w:rsidRDefault="005B6AE1" w:rsidP="0042782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Серьезное внимание уделить к оформлению первичной бухгалтерской документации. </w:t>
      </w:r>
    </w:p>
    <w:p w:rsidR="0042782B" w:rsidRPr="0042782B" w:rsidRDefault="0042782B" w:rsidP="0042782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принять меры по устранению нарушений </w:t>
      </w:r>
      <w:r w:rsidR="00D8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125B" w:rsidRPr="00BB6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управления и распоряжения государственной (муниципальной) собственностью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района:                                               Сергеев В.Е.</w:t>
      </w:r>
    </w:p>
    <w:p w:rsidR="005B6AE1" w:rsidRPr="00616F8D" w:rsidRDefault="00D8125B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26.03.2018</w:t>
      </w:r>
      <w:r w:rsidR="00982B1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B6AE1"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AE1" w:rsidRDefault="005B6AE1" w:rsidP="005B6AE1">
      <w:pPr>
        <w:spacing w:line="360" w:lineRule="auto"/>
      </w:pPr>
    </w:p>
    <w:p w:rsidR="005B6AE1" w:rsidRDefault="005B6AE1" w:rsidP="005B6AE1"/>
    <w:p w:rsidR="00237405" w:rsidRDefault="00237405"/>
    <w:sectPr w:rsidR="00237405" w:rsidSect="003671BF">
      <w:footerReference w:type="even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F9" w:rsidRDefault="008B3EF9">
      <w:pPr>
        <w:spacing w:after="0" w:line="240" w:lineRule="auto"/>
      </w:pPr>
      <w:r>
        <w:separator/>
      </w:r>
    </w:p>
  </w:endnote>
  <w:endnote w:type="continuationSeparator" w:id="0">
    <w:p w:rsidR="008B3EF9" w:rsidRDefault="008B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4F" w:rsidRDefault="0079404F" w:rsidP="003433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04F" w:rsidRDefault="0079404F" w:rsidP="003433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489813"/>
      <w:docPartObj>
        <w:docPartGallery w:val="Page Numbers (Bottom of Page)"/>
        <w:docPartUnique/>
      </w:docPartObj>
    </w:sdtPr>
    <w:sdtEndPr/>
    <w:sdtContent>
      <w:p w:rsidR="0079404F" w:rsidRDefault="007940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62">
          <w:rPr>
            <w:noProof/>
          </w:rPr>
          <w:t>2</w:t>
        </w:r>
        <w:r>
          <w:fldChar w:fldCharType="end"/>
        </w:r>
      </w:p>
    </w:sdtContent>
  </w:sdt>
  <w:p w:rsidR="0079404F" w:rsidRDefault="0079404F" w:rsidP="003433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F9" w:rsidRDefault="008B3EF9">
      <w:pPr>
        <w:spacing w:after="0" w:line="240" w:lineRule="auto"/>
      </w:pPr>
      <w:r>
        <w:separator/>
      </w:r>
    </w:p>
  </w:footnote>
  <w:footnote w:type="continuationSeparator" w:id="0">
    <w:p w:rsidR="008B3EF9" w:rsidRDefault="008B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D60C4"/>
    <w:multiLevelType w:val="hybridMultilevel"/>
    <w:tmpl w:val="91306E3C"/>
    <w:lvl w:ilvl="0" w:tplc="DFDC8F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E1"/>
    <w:rsid w:val="000262B9"/>
    <w:rsid w:val="00047F3C"/>
    <w:rsid w:val="000929CB"/>
    <w:rsid w:val="00192A10"/>
    <w:rsid w:val="001C44DD"/>
    <w:rsid w:val="00210685"/>
    <w:rsid w:val="0021702A"/>
    <w:rsid w:val="00237405"/>
    <w:rsid w:val="00270D72"/>
    <w:rsid w:val="00286762"/>
    <w:rsid w:val="002A5854"/>
    <w:rsid w:val="002B2CCD"/>
    <w:rsid w:val="002B72FB"/>
    <w:rsid w:val="002C0693"/>
    <w:rsid w:val="002D6253"/>
    <w:rsid w:val="00312992"/>
    <w:rsid w:val="00337262"/>
    <w:rsid w:val="003433A4"/>
    <w:rsid w:val="003671BF"/>
    <w:rsid w:val="003732BB"/>
    <w:rsid w:val="00375673"/>
    <w:rsid w:val="0042782B"/>
    <w:rsid w:val="00505AA0"/>
    <w:rsid w:val="0050662A"/>
    <w:rsid w:val="00593093"/>
    <w:rsid w:val="005B6AE1"/>
    <w:rsid w:val="005F6FBB"/>
    <w:rsid w:val="00601451"/>
    <w:rsid w:val="006122FD"/>
    <w:rsid w:val="006611DD"/>
    <w:rsid w:val="00661A88"/>
    <w:rsid w:val="00691753"/>
    <w:rsid w:val="006C403B"/>
    <w:rsid w:val="007048FA"/>
    <w:rsid w:val="00730566"/>
    <w:rsid w:val="00746B58"/>
    <w:rsid w:val="0079404F"/>
    <w:rsid w:val="007C65FE"/>
    <w:rsid w:val="00825EB4"/>
    <w:rsid w:val="0084146B"/>
    <w:rsid w:val="00861474"/>
    <w:rsid w:val="00885EC5"/>
    <w:rsid w:val="008B3EF9"/>
    <w:rsid w:val="008C568A"/>
    <w:rsid w:val="008D2A2F"/>
    <w:rsid w:val="00982B13"/>
    <w:rsid w:val="00A11613"/>
    <w:rsid w:val="00A75E0B"/>
    <w:rsid w:val="00A84D6D"/>
    <w:rsid w:val="00B204AE"/>
    <w:rsid w:val="00B659E9"/>
    <w:rsid w:val="00B6651B"/>
    <w:rsid w:val="00BB6A8B"/>
    <w:rsid w:val="00C57C9C"/>
    <w:rsid w:val="00CA0A7E"/>
    <w:rsid w:val="00CD13C0"/>
    <w:rsid w:val="00D27D90"/>
    <w:rsid w:val="00D77E30"/>
    <w:rsid w:val="00D8125B"/>
    <w:rsid w:val="00DD119C"/>
    <w:rsid w:val="00DE0F4A"/>
    <w:rsid w:val="00DE4ED0"/>
    <w:rsid w:val="00E77BDE"/>
    <w:rsid w:val="00EB4F7A"/>
    <w:rsid w:val="00F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8F1C-7118-4D5A-819E-8ABC560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6AE1"/>
  </w:style>
  <w:style w:type="character" w:styleId="a5">
    <w:name w:val="page number"/>
    <w:basedOn w:val="a0"/>
    <w:rsid w:val="005B6AE1"/>
  </w:style>
  <w:style w:type="paragraph" w:styleId="a6">
    <w:name w:val="No Spacing"/>
    <w:uiPriority w:val="1"/>
    <w:qFormat/>
    <w:rsid w:val="005B6AE1"/>
    <w:pPr>
      <w:spacing w:after="0" w:line="240" w:lineRule="auto"/>
    </w:pPr>
  </w:style>
  <w:style w:type="paragraph" w:customStyle="1" w:styleId="Default">
    <w:name w:val="Default"/>
    <w:rsid w:val="005B6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B13"/>
  </w:style>
  <w:style w:type="paragraph" w:styleId="a9">
    <w:name w:val="List Paragraph"/>
    <w:basedOn w:val="a"/>
    <w:uiPriority w:val="34"/>
    <w:qFormat/>
    <w:rsid w:val="0042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131B-0C75-4E06-86D8-B9827061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dcterms:created xsi:type="dcterms:W3CDTF">2018-08-15T12:17:00Z</dcterms:created>
  <dcterms:modified xsi:type="dcterms:W3CDTF">2018-08-15T12:17:00Z</dcterms:modified>
</cp:coreProperties>
</file>